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Default="00D0199D" w:rsidP="00D0199D">
      <w:pPr>
        <w:jc w:val="center"/>
      </w:pPr>
    </w:p>
    <w:p w:rsidR="00D0199D" w:rsidRDefault="00D0199D" w:rsidP="00D0199D"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1395E8" wp14:editId="166AD6BA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D0199D" w:rsidTr="0017355C">
        <w:trPr>
          <w:trHeight w:val="1127"/>
        </w:trPr>
        <w:tc>
          <w:tcPr>
            <w:tcW w:w="4503" w:type="dxa"/>
          </w:tcPr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Pr="00E11BCA" w:rsidRDefault="00D0199D" w:rsidP="0017355C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BCA">
              <w:rPr>
                <w:b/>
                <w:sz w:val="24"/>
                <w:szCs w:val="24"/>
              </w:rPr>
              <w:t>РЕСПУБЛИКИ ТЫВА</w:t>
            </w:r>
          </w:p>
        </w:tc>
      </w:tr>
    </w:tbl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E11BCA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1B48E3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D034BC">
        <w:rPr>
          <w:b/>
          <w:sz w:val="28"/>
          <w:szCs w:val="28"/>
        </w:rPr>
        <w:t>Р</w:t>
      </w:r>
      <w:proofErr w:type="gramEnd"/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Ш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Н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И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2E5D35" w:rsidP="00D0199D">
      <w:pPr>
        <w:jc w:val="center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C70562" w:rsidRPr="00D034BC">
        <w:rPr>
          <w:sz w:val="28"/>
          <w:szCs w:val="28"/>
        </w:rPr>
        <w:t xml:space="preserve"> </w:t>
      </w:r>
      <w:r w:rsidR="00B03A62" w:rsidRPr="00D034BC">
        <w:rPr>
          <w:sz w:val="28"/>
          <w:szCs w:val="28"/>
        </w:rPr>
        <w:t xml:space="preserve">2017 года               </w:t>
      </w:r>
      <w:r w:rsidR="00F6103A">
        <w:rPr>
          <w:sz w:val="28"/>
          <w:szCs w:val="28"/>
        </w:rPr>
        <w:t xml:space="preserve">     №47</w:t>
      </w:r>
      <w:r w:rsidR="009759FF" w:rsidRPr="00D034BC">
        <w:rPr>
          <w:sz w:val="28"/>
          <w:szCs w:val="28"/>
        </w:rPr>
        <w:t xml:space="preserve">                       </w:t>
      </w:r>
      <w:r w:rsidR="00244B1B" w:rsidRPr="00D034BC">
        <w:rPr>
          <w:sz w:val="28"/>
          <w:szCs w:val="28"/>
        </w:rPr>
        <w:t>с.</w:t>
      </w:r>
      <w:r w:rsidR="00B014B0" w:rsidRPr="00D034BC">
        <w:rPr>
          <w:sz w:val="28"/>
          <w:szCs w:val="28"/>
        </w:rPr>
        <w:t xml:space="preserve"> </w:t>
      </w:r>
      <w:r w:rsidR="00244B1B" w:rsidRPr="00D034BC">
        <w:rPr>
          <w:sz w:val="28"/>
          <w:szCs w:val="28"/>
        </w:rPr>
        <w:t>Кызыл-Мажалык</w:t>
      </w: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F6103A" w:rsidRDefault="00F6103A" w:rsidP="00F6103A">
      <w:pPr>
        <w:jc w:val="center"/>
        <w:rPr>
          <w:b/>
          <w:sz w:val="28"/>
          <w:szCs w:val="28"/>
        </w:rPr>
      </w:pPr>
      <w:r w:rsidRPr="001F2396">
        <w:rPr>
          <w:b/>
          <w:sz w:val="28"/>
          <w:szCs w:val="28"/>
        </w:rPr>
        <w:t>Об итогах</w:t>
      </w:r>
      <w:r>
        <w:rPr>
          <w:b/>
          <w:sz w:val="28"/>
          <w:szCs w:val="28"/>
        </w:rPr>
        <w:t xml:space="preserve"> </w:t>
      </w:r>
      <w:r w:rsidRPr="001F2396">
        <w:rPr>
          <w:b/>
          <w:sz w:val="28"/>
          <w:szCs w:val="28"/>
        </w:rPr>
        <w:t>исполнения</w:t>
      </w:r>
      <w:r>
        <w:rPr>
          <w:b/>
          <w:sz w:val="28"/>
          <w:szCs w:val="28"/>
        </w:rPr>
        <w:t xml:space="preserve"> </w:t>
      </w:r>
      <w:r w:rsidRPr="001F2396">
        <w:rPr>
          <w:b/>
          <w:sz w:val="28"/>
          <w:szCs w:val="28"/>
        </w:rPr>
        <w:t>кожуунного бюджета муниципального района  «Барун-Хемчикский  кожуун»</w:t>
      </w:r>
      <w:r>
        <w:rPr>
          <w:b/>
          <w:sz w:val="28"/>
          <w:szCs w:val="28"/>
        </w:rPr>
        <w:t xml:space="preserve"> Республики Тыва за 3</w:t>
      </w:r>
      <w:r w:rsidRPr="001F2396">
        <w:rPr>
          <w:b/>
          <w:sz w:val="28"/>
          <w:szCs w:val="28"/>
        </w:rPr>
        <w:t xml:space="preserve"> квартал 2017</w:t>
      </w:r>
      <w:r>
        <w:rPr>
          <w:b/>
          <w:sz w:val="28"/>
          <w:szCs w:val="28"/>
        </w:rPr>
        <w:t xml:space="preserve"> </w:t>
      </w:r>
      <w:r w:rsidRPr="001F2396">
        <w:rPr>
          <w:b/>
          <w:sz w:val="28"/>
          <w:szCs w:val="28"/>
        </w:rPr>
        <w:t xml:space="preserve">года и об основных задачах бюджетной политики на </w:t>
      </w:r>
      <w:r>
        <w:rPr>
          <w:b/>
          <w:sz w:val="28"/>
          <w:szCs w:val="28"/>
        </w:rPr>
        <w:t>4</w:t>
      </w:r>
      <w:r w:rsidR="00F24BF5">
        <w:rPr>
          <w:b/>
          <w:sz w:val="28"/>
          <w:szCs w:val="28"/>
        </w:rPr>
        <w:t xml:space="preserve"> квартал 2017 года</w:t>
      </w:r>
      <w:bookmarkStart w:id="0" w:name="_GoBack"/>
      <w:bookmarkEnd w:id="0"/>
    </w:p>
    <w:p w:rsidR="00F6103A" w:rsidRDefault="00F6103A" w:rsidP="00F6103A">
      <w:pPr>
        <w:jc w:val="center"/>
        <w:rPr>
          <w:sz w:val="26"/>
          <w:szCs w:val="26"/>
        </w:rPr>
      </w:pPr>
    </w:p>
    <w:p w:rsidR="00F6103A" w:rsidRPr="00900EBC" w:rsidRDefault="00F6103A" w:rsidP="00F6103A">
      <w:pPr>
        <w:ind w:firstLine="709"/>
        <w:jc w:val="both"/>
        <w:rPr>
          <w:sz w:val="28"/>
          <w:szCs w:val="28"/>
        </w:rPr>
      </w:pPr>
      <w:r w:rsidRPr="00900EBC">
        <w:rPr>
          <w:sz w:val="28"/>
          <w:szCs w:val="28"/>
        </w:rPr>
        <w:t>Доходная часть кожуунного</w:t>
      </w:r>
      <w:r>
        <w:rPr>
          <w:sz w:val="28"/>
          <w:szCs w:val="28"/>
        </w:rPr>
        <w:t xml:space="preserve"> бюджета исполнен всего </w:t>
      </w:r>
      <w:r w:rsidRPr="00900EBC">
        <w:rPr>
          <w:sz w:val="28"/>
          <w:szCs w:val="28"/>
        </w:rPr>
        <w:t xml:space="preserve">по доходам на сумму 430298,6 тыс. рублей процент  исполнения составил 76. Из них собственные доходы 26775,4  тыс. рублей при годовом плане 40162 тыс. рублей, процент исполнения составил 67.  Доля собственных доходов в общей сумме доходной части составляет  6 процентов, безвозмездных перечислений 94 процентов.           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Выполнение плана собственных  доходов за 3 квартал  составляет 104  процентов.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 Недоимка на 01.10.2017 года составляет всего 3752,06</w:t>
      </w:r>
      <w:r w:rsidRPr="00900EBC">
        <w:rPr>
          <w:b/>
          <w:sz w:val="28"/>
          <w:szCs w:val="28"/>
        </w:rPr>
        <w:t xml:space="preserve"> </w:t>
      </w:r>
      <w:r w:rsidRPr="00900EBC">
        <w:rPr>
          <w:sz w:val="28"/>
          <w:szCs w:val="28"/>
        </w:rPr>
        <w:t xml:space="preserve"> тыс. рублей, в том числе основная задолженность 2692  тыс. рублей, пени  408,6  тыс. рублей, штраф 651,46 тыс. рублей.</w:t>
      </w:r>
    </w:p>
    <w:p w:rsidR="00F6103A" w:rsidRPr="00900EBC" w:rsidRDefault="00F6103A" w:rsidP="00F6103A">
      <w:pPr>
        <w:ind w:firstLine="360"/>
        <w:jc w:val="both"/>
        <w:rPr>
          <w:i/>
          <w:sz w:val="28"/>
          <w:szCs w:val="28"/>
        </w:rPr>
      </w:pPr>
      <w:r w:rsidRPr="00900EBC">
        <w:rPr>
          <w:sz w:val="28"/>
          <w:szCs w:val="28"/>
        </w:rPr>
        <w:t>Недоимка по видам налогов и сборов подразделяется: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rPr>
          <w:sz w:val="28"/>
          <w:szCs w:val="28"/>
        </w:rPr>
      </w:pPr>
      <w:r w:rsidRPr="00900EBC">
        <w:rPr>
          <w:sz w:val="28"/>
          <w:szCs w:val="28"/>
        </w:rPr>
        <w:t>Земельный налог  –  834,01 тыс. рублей;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0EBC">
        <w:rPr>
          <w:sz w:val="28"/>
          <w:szCs w:val="28"/>
        </w:rPr>
        <w:t>Транспортный налог  –  897,89  тыс. рублей;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0EBC">
        <w:rPr>
          <w:sz w:val="28"/>
          <w:szCs w:val="28"/>
        </w:rPr>
        <w:t>НДФЛ – 725,23 тыс. рублей;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0EBC">
        <w:rPr>
          <w:sz w:val="28"/>
          <w:szCs w:val="28"/>
        </w:rPr>
        <w:t>ЕНВД – 213,16  тыс. рублей;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0EBC">
        <w:rPr>
          <w:sz w:val="28"/>
          <w:szCs w:val="28"/>
        </w:rPr>
        <w:t>ЕСХН –  15,11 тыс. рублей;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0EBC">
        <w:rPr>
          <w:sz w:val="28"/>
          <w:szCs w:val="28"/>
        </w:rPr>
        <w:t>Прибыль – 3,6 тыс. рублей;</w:t>
      </w:r>
    </w:p>
    <w:p w:rsidR="00F6103A" w:rsidRPr="00900EBC" w:rsidRDefault="00F6103A" w:rsidP="00F6103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0EBC">
        <w:rPr>
          <w:sz w:val="28"/>
          <w:szCs w:val="28"/>
        </w:rPr>
        <w:t>Налог на патент</w:t>
      </w:r>
      <w:r w:rsidRPr="00900EBC">
        <w:rPr>
          <w:b/>
          <w:sz w:val="28"/>
          <w:szCs w:val="28"/>
        </w:rPr>
        <w:t xml:space="preserve"> </w:t>
      </w:r>
      <w:r w:rsidRPr="00900EBC">
        <w:rPr>
          <w:sz w:val="28"/>
          <w:szCs w:val="28"/>
        </w:rPr>
        <w:t>– 3,0 тыс. рублей;</w:t>
      </w:r>
    </w:p>
    <w:p w:rsidR="00F6103A" w:rsidRPr="00900EBC" w:rsidRDefault="00F6103A" w:rsidP="00F6103A">
      <w:pPr>
        <w:ind w:left="720"/>
        <w:jc w:val="both"/>
        <w:rPr>
          <w:sz w:val="28"/>
          <w:szCs w:val="28"/>
        </w:rPr>
      </w:pPr>
    </w:p>
    <w:p w:rsidR="00F6103A" w:rsidRPr="00900EBC" w:rsidRDefault="00F6103A" w:rsidP="00F6103A">
      <w:pPr>
        <w:pStyle w:val="aa"/>
        <w:ind w:left="0" w:firstLine="720"/>
        <w:jc w:val="both"/>
        <w:rPr>
          <w:sz w:val="28"/>
          <w:szCs w:val="28"/>
        </w:rPr>
      </w:pPr>
      <w:r w:rsidRPr="00900EBC">
        <w:rPr>
          <w:sz w:val="28"/>
          <w:szCs w:val="28"/>
        </w:rPr>
        <w:lastRenderedPageBreak/>
        <w:t>Расходная часть бюджета исполнена всего на 426560,5 тыс. рублей  процент исполнения 75. Доля финансирования в общей сумме расходной части составляет:</w:t>
      </w:r>
    </w:p>
    <w:p w:rsidR="00F6103A" w:rsidRPr="00900EBC" w:rsidRDefault="00F6103A" w:rsidP="00F6103A">
      <w:pPr>
        <w:pStyle w:val="aa"/>
        <w:numPr>
          <w:ilvl w:val="0"/>
          <w:numId w:val="15"/>
        </w:numPr>
        <w:ind w:left="426" w:firstLine="654"/>
        <w:jc w:val="both"/>
        <w:rPr>
          <w:sz w:val="28"/>
          <w:szCs w:val="28"/>
        </w:rPr>
      </w:pPr>
      <w:r w:rsidRPr="00900EBC">
        <w:rPr>
          <w:sz w:val="28"/>
          <w:szCs w:val="28"/>
        </w:rPr>
        <w:t>Общегосударственные расходы  – 5%;</w:t>
      </w:r>
    </w:p>
    <w:p w:rsidR="00F6103A" w:rsidRPr="00900EBC" w:rsidRDefault="00F6103A" w:rsidP="00F6103A">
      <w:pPr>
        <w:pStyle w:val="aa"/>
        <w:numPr>
          <w:ilvl w:val="0"/>
          <w:numId w:val="15"/>
        </w:numPr>
        <w:ind w:left="1134" w:firstLine="0"/>
        <w:rPr>
          <w:sz w:val="28"/>
          <w:szCs w:val="28"/>
        </w:rPr>
      </w:pPr>
      <w:r w:rsidRPr="00900EBC">
        <w:rPr>
          <w:sz w:val="28"/>
          <w:szCs w:val="28"/>
        </w:rPr>
        <w:t>Национальная оборона – 0,1%;</w:t>
      </w:r>
    </w:p>
    <w:p w:rsidR="00F6103A" w:rsidRPr="00900EBC" w:rsidRDefault="00F6103A" w:rsidP="00F6103A">
      <w:pPr>
        <w:pStyle w:val="aa"/>
        <w:numPr>
          <w:ilvl w:val="0"/>
          <w:numId w:val="15"/>
        </w:numPr>
        <w:rPr>
          <w:sz w:val="28"/>
          <w:szCs w:val="28"/>
        </w:rPr>
      </w:pPr>
      <w:r w:rsidRPr="00900EBC">
        <w:rPr>
          <w:sz w:val="28"/>
          <w:szCs w:val="28"/>
        </w:rPr>
        <w:t>Национальная безопасность – 0,23 %;</w:t>
      </w:r>
    </w:p>
    <w:p w:rsidR="00F6103A" w:rsidRPr="00900EBC" w:rsidRDefault="00F6103A" w:rsidP="00F6103A">
      <w:pPr>
        <w:pStyle w:val="aa"/>
        <w:numPr>
          <w:ilvl w:val="0"/>
          <w:numId w:val="15"/>
        </w:numPr>
        <w:rPr>
          <w:sz w:val="28"/>
          <w:szCs w:val="28"/>
        </w:rPr>
      </w:pPr>
      <w:r w:rsidRPr="00900EBC">
        <w:rPr>
          <w:sz w:val="28"/>
          <w:szCs w:val="28"/>
        </w:rPr>
        <w:t>Сельское хозяйство – 1,33%;</w:t>
      </w:r>
    </w:p>
    <w:p w:rsidR="00F6103A" w:rsidRPr="00900EBC" w:rsidRDefault="00F6103A" w:rsidP="00F6103A">
      <w:pPr>
        <w:pStyle w:val="aa"/>
        <w:numPr>
          <w:ilvl w:val="0"/>
          <w:numId w:val="15"/>
        </w:numPr>
        <w:rPr>
          <w:sz w:val="28"/>
          <w:szCs w:val="28"/>
        </w:rPr>
      </w:pPr>
      <w:r w:rsidRPr="00900EBC">
        <w:rPr>
          <w:sz w:val="28"/>
          <w:szCs w:val="28"/>
        </w:rPr>
        <w:t>Жилищно – коммунальное хозяйство –0,59%;</w:t>
      </w:r>
    </w:p>
    <w:p w:rsidR="00F6103A" w:rsidRPr="00900EBC" w:rsidRDefault="00F6103A" w:rsidP="00F6103A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0EBC">
        <w:rPr>
          <w:sz w:val="28"/>
          <w:szCs w:val="28"/>
        </w:rPr>
        <w:t>Образование – 67%;</w:t>
      </w:r>
    </w:p>
    <w:p w:rsidR="00F6103A" w:rsidRPr="00900EBC" w:rsidRDefault="00F6103A" w:rsidP="00F6103A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0EBC">
        <w:rPr>
          <w:sz w:val="28"/>
          <w:szCs w:val="28"/>
        </w:rPr>
        <w:t>Культура-  9%;</w:t>
      </w:r>
    </w:p>
    <w:p w:rsidR="00F6103A" w:rsidRPr="00900EBC" w:rsidRDefault="00F6103A" w:rsidP="00F6103A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0EBC">
        <w:rPr>
          <w:sz w:val="28"/>
          <w:szCs w:val="28"/>
        </w:rPr>
        <w:t>Социальная политика -  13,2%;</w:t>
      </w:r>
    </w:p>
    <w:p w:rsidR="00F6103A" w:rsidRPr="00900EBC" w:rsidRDefault="00F6103A" w:rsidP="00F6103A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0EBC">
        <w:rPr>
          <w:sz w:val="28"/>
          <w:szCs w:val="28"/>
        </w:rPr>
        <w:t>Физическая культура и спорт – 0,06%;</w:t>
      </w:r>
    </w:p>
    <w:p w:rsidR="00F6103A" w:rsidRPr="00900EBC" w:rsidRDefault="00F6103A" w:rsidP="00F6103A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0EBC">
        <w:rPr>
          <w:sz w:val="28"/>
          <w:szCs w:val="28"/>
        </w:rPr>
        <w:t>Средства массовой информации – 0,07%</w:t>
      </w:r>
    </w:p>
    <w:p w:rsidR="00F6103A" w:rsidRPr="00900EBC" w:rsidRDefault="00F6103A" w:rsidP="00F6103A">
      <w:pPr>
        <w:pStyle w:val="aa"/>
        <w:numPr>
          <w:ilvl w:val="0"/>
          <w:numId w:val="14"/>
        </w:numPr>
        <w:rPr>
          <w:sz w:val="28"/>
          <w:szCs w:val="28"/>
        </w:rPr>
      </w:pPr>
      <w:r w:rsidRPr="00900EBC">
        <w:rPr>
          <w:sz w:val="28"/>
          <w:szCs w:val="28"/>
        </w:rPr>
        <w:t>Межбюджетные трансферты – 3,2%.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Расходы по разделу «Общегосударственные вопросы» составили всего 22357,8  тыс. рублей. На оплату труда  профинансировано 13195 тыс. рублей, средняя зарплата на одного работника составляет 28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   Межбюджетные трансферты сельским поселениям на национальную оборону составили 434,1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Расходы по разделу «Национальная безопасность» составили всего 985,1  тыс. рублей, из них на оплату труда  профинансировано 641 тыс. рублей, средняя зарплата на одного работника составляет 18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Расходы по разделу «Национальная экономика» составили всего 5677,6 тыс. рублей, из них на оплату труда профинансировано 1457,2тыс. рублей, средняя зарплата на одного работника составляет   26  тыс. рублей.         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Расходы по разделу  «</w:t>
      </w:r>
      <w:proofErr w:type="spellStart"/>
      <w:r w:rsidRPr="00900EBC">
        <w:rPr>
          <w:sz w:val="28"/>
          <w:szCs w:val="28"/>
        </w:rPr>
        <w:t>Жилишно</w:t>
      </w:r>
      <w:proofErr w:type="spellEnd"/>
      <w:r w:rsidRPr="00900EBC">
        <w:rPr>
          <w:sz w:val="28"/>
          <w:szCs w:val="28"/>
        </w:rPr>
        <w:t>-коммунальное хозяйство» составил всего 2504,3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Расходы по разделу «Образование» составили всего 285703  тыс. рублей, из них на оплату труда  профинансировано 196764 тыс. рублей, средняя зарплата на одного работника составляет 20,8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Расходы по разделу «Культура» составили всего 38492,5 тыс. рублей, из них на оплату труда  профинансировано 24872,2 тыс. рублей, средняя зарплата на одного работника составляет 17 тыс. рублей. 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Расходы по разделу «</w:t>
      </w:r>
      <w:proofErr w:type="spellStart"/>
      <w:r w:rsidRPr="00900EBC">
        <w:rPr>
          <w:sz w:val="28"/>
          <w:szCs w:val="28"/>
        </w:rPr>
        <w:t>Соцполитика</w:t>
      </w:r>
      <w:proofErr w:type="spellEnd"/>
      <w:r w:rsidRPr="00900EBC">
        <w:rPr>
          <w:sz w:val="28"/>
          <w:szCs w:val="28"/>
        </w:rPr>
        <w:t>»  составили всего 56114,4 тыс. рублей, из них на оплату труда  профинансировано 1595,5 тыс. рублей, средняя зарплата на одного работника составляет 25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Расходы по разделу «Физическая культура и спорт» составили всего 272,8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Расходы по разделу «Средства массовой информации» составили всего 283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Расходы на межбюджетные трансферты составляет 13735,8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На 01.10.2015 года по коммунальным услугам кредиторская задолженность составляет  1543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lastRenderedPageBreak/>
        <w:t xml:space="preserve">          Процент исполнения общих расходов по разделам и статьям  по сравнению с аналогичным периодом составляет 94, или с отклонением в сторону уменьшения финансирования на 26022 тыс. рублей.          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На реализацию  муниципальных программ в 3 квартале направлены средства в сумме 329736 тыс. рублей.          </w:t>
      </w:r>
    </w:p>
    <w:p w:rsidR="00F6103A" w:rsidRDefault="00F6103A" w:rsidP="00F6103A">
      <w:pPr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          Профицит  бюджета составил 3738 тыс. рублей.</w:t>
      </w:r>
    </w:p>
    <w:p w:rsidR="00F6103A" w:rsidRPr="00900EBC" w:rsidRDefault="00F6103A" w:rsidP="00F6103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900EBC">
        <w:rPr>
          <w:sz w:val="28"/>
          <w:szCs w:val="28"/>
        </w:rPr>
        <w:t>На  основании   вышеизложенного и п.1. ст. 160 Бюджетного кодекса РФ и  п. 10.1  ч.10  Положения  о  бюджетном  пр</w:t>
      </w:r>
      <w:r>
        <w:rPr>
          <w:sz w:val="28"/>
          <w:szCs w:val="28"/>
        </w:rPr>
        <w:t xml:space="preserve">оцессе  муниципального  района «Барун-Хемчикский кожуун» </w:t>
      </w:r>
      <w:r w:rsidRPr="00900EBC">
        <w:rPr>
          <w:sz w:val="28"/>
          <w:szCs w:val="28"/>
        </w:rPr>
        <w:t>Республики Тыва Хурал  представителей  Барун-Хемчикского  кожууна  РЕШИЛ:</w:t>
      </w:r>
    </w:p>
    <w:p w:rsidR="00F6103A" w:rsidRPr="001F2396" w:rsidRDefault="00F6103A" w:rsidP="00F6103A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 xml:space="preserve">Принять к сведению доклад </w:t>
      </w:r>
      <w:proofErr w:type="spellStart"/>
      <w:r w:rsidRPr="001F2396">
        <w:rPr>
          <w:sz w:val="28"/>
          <w:szCs w:val="28"/>
        </w:rPr>
        <w:t>и.о</w:t>
      </w:r>
      <w:proofErr w:type="spellEnd"/>
      <w:r w:rsidRPr="001F2396">
        <w:rPr>
          <w:sz w:val="28"/>
          <w:szCs w:val="28"/>
        </w:rPr>
        <w:t xml:space="preserve">. начальника финансового управления </w:t>
      </w:r>
      <w:proofErr w:type="spellStart"/>
      <w:r w:rsidRPr="001F2396">
        <w:rPr>
          <w:sz w:val="28"/>
          <w:szCs w:val="28"/>
        </w:rPr>
        <w:t>Саая</w:t>
      </w:r>
      <w:proofErr w:type="spellEnd"/>
      <w:r w:rsidRPr="001F2396">
        <w:rPr>
          <w:sz w:val="28"/>
          <w:szCs w:val="28"/>
        </w:rPr>
        <w:t xml:space="preserve"> Е.Ч. «Об исполнении кожуунного бюджета муниципального района «Барун-Хемчикский кожуун» Республики Тыва за </w:t>
      </w:r>
      <w:r w:rsidRPr="001F2396">
        <w:rPr>
          <w:sz w:val="28"/>
          <w:szCs w:val="28"/>
          <w:lang w:val="en-US"/>
        </w:rPr>
        <w:t>III</w:t>
      </w:r>
      <w:r w:rsidRPr="001F2396">
        <w:rPr>
          <w:sz w:val="28"/>
          <w:szCs w:val="28"/>
        </w:rPr>
        <w:t xml:space="preserve"> квартал 2017 года и об основных задачах бюджетной политики на </w:t>
      </w:r>
      <w:r>
        <w:rPr>
          <w:sz w:val="28"/>
          <w:szCs w:val="28"/>
          <w:lang w:val="en-US"/>
        </w:rPr>
        <w:t>IY</w:t>
      </w:r>
      <w:r w:rsidRPr="00204AC4">
        <w:rPr>
          <w:sz w:val="28"/>
          <w:szCs w:val="28"/>
        </w:rPr>
        <w:t xml:space="preserve"> </w:t>
      </w:r>
      <w:r w:rsidRPr="001F2396">
        <w:rPr>
          <w:sz w:val="28"/>
          <w:szCs w:val="28"/>
        </w:rPr>
        <w:t>квартал 2017 года» с пояснительной запиской.</w:t>
      </w:r>
    </w:p>
    <w:p w:rsidR="00F6103A" w:rsidRPr="001F2396" w:rsidRDefault="00F6103A" w:rsidP="00F6103A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 xml:space="preserve">Утвердить отчет «Об исполнении кожуунного бюджета муниципального района «Барун-Хемчикский кожуун» Республики Тыва за </w:t>
      </w:r>
      <w:r w:rsidRPr="001F2396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204AC4">
        <w:rPr>
          <w:sz w:val="28"/>
          <w:szCs w:val="28"/>
        </w:rPr>
        <w:t xml:space="preserve"> </w:t>
      </w:r>
      <w:r w:rsidRPr="001F2396">
        <w:rPr>
          <w:sz w:val="28"/>
          <w:szCs w:val="28"/>
        </w:rPr>
        <w:t xml:space="preserve">квартал 2017 года» по доходам в объеме </w:t>
      </w:r>
      <w:r>
        <w:rPr>
          <w:sz w:val="28"/>
          <w:szCs w:val="28"/>
        </w:rPr>
        <w:t>430298,</w:t>
      </w:r>
      <w:r w:rsidRPr="00204AC4">
        <w:rPr>
          <w:sz w:val="28"/>
          <w:szCs w:val="28"/>
        </w:rPr>
        <w:t>6</w:t>
      </w:r>
      <w:r w:rsidRPr="001F2396">
        <w:rPr>
          <w:sz w:val="28"/>
          <w:szCs w:val="28"/>
        </w:rPr>
        <w:t xml:space="preserve"> тыс. рублей, в том числе безвозмездные поступления в сумме </w:t>
      </w:r>
      <w:r>
        <w:rPr>
          <w:sz w:val="28"/>
          <w:szCs w:val="28"/>
        </w:rPr>
        <w:t>403523,2</w:t>
      </w:r>
      <w:r w:rsidRPr="001F2396">
        <w:rPr>
          <w:sz w:val="28"/>
          <w:szCs w:val="28"/>
        </w:rPr>
        <w:t xml:space="preserve"> тыс. рублей, собственные доходы в сумме </w:t>
      </w:r>
      <w:r>
        <w:rPr>
          <w:sz w:val="28"/>
          <w:szCs w:val="28"/>
        </w:rPr>
        <w:t>26775,4</w:t>
      </w:r>
      <w:r w:rsidRPr="001F2396">
        <w:rPr>
          <w:sz w:val="28"/>
          <w:szCs w:val="28"/>
        </w:rPr>
        <w:t xml:space="preserve"> тыс. рублей. По расходам </w:t>
      </w:r>
      <w:r>
        <w:rPr>
          <w:sz w:val="28"/>
          <w:szCs w:val="28"/>
        </w:rPr>
        <w:t>426560,</w:t>
      </w:r>
      <w:r w:rsidRPr="00204AC4">
        <w:rPr>
          <w:sz w:val="28"/>
          <w:szCs w:val="28"/>
        </w:rPr>
        <w:t>5</w:t>
      </w:r>
      <w:r w:rsidRPr="001F2396">
        <w:rPr>
          <w:sz w:val="28"/>
          <w:szCs w:val="28"/>
        </w:rPr>
        <w:t xml:space="preserve"> тыс. рублей, с профицитом бюджета </w:t>
      </w:r>
      <w:r>
        <w:rPr>
          <w:sz w:val="28"/>
          <w:szCs w:val="28"/>
        </w:rPr>
        <w:t>3738,1</w:t>
      </w:r>
      <w:r w:rsidRPr="001F2396">
        <w:rPr>
          <w:sz w:val="28"/>
          <w:szCs w:val="28"/>
        </w:rPr>
        <w:t xml:space="preserve"> тыс. рублей со следующими  приложенными приложениями: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№1- Источники внутреннего финансирования дефицита;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 xml:space="preserve">Приложение №2 - Исполнение доходов кожуунного бюджета </w:t>
      </w:r>
      <w:proofErr w:type="gramStart"/>
      <w:r w:rsidRPr="001F2396">
        <w:rPr>
          <w:sz w:val="28"/>
          <w:szCs w:val="28"/>
        </w:rPr>
        <w:t>с</w:t>
      </w:r>
      <w:proofErr w:type="gramEnd"/>
      <w:r w:rsidRPr="001F2396">
        <w:rPr>
          <w:sz w:val="28"/>
          <w:szCs w:val="28"/>
        </w:rPr>
        <w:t xml:space="preserve"> сравнительным анализом аналогичного периода 2016 года;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№3 - Ведомственная структура расходов;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№4 - Функциональная структура расходов по разделам и подразделам;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№5 - Финансовая помощь из кожуунного бюджета бюджетам сельских поселений на запрет розничной продажи алкогольной продукции;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№6 - Финансовая помощь из кожуунного бюджета сельским поселениям на  долевое финансирование расходов на оплату коммунальных услуг;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№7 - Финансовая помощь из кожуунного бюджета сельским поселениям на выравнивание уровня бюджетной обеспеченности;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№8 - Финансовая помощь из кожуунного бюджета сельским поселениям  субвенции   на  осуществление полномочий по первичному воинскому учету;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№9 - </w:t>
      </w:r>
      <w:r w:rsidRPr="001F2396">
        <w:rPr>
          <w:sz w:val="28"/>
          <w:szCs w:val="28"/>
        </w:rPr>
        <w:t>Исполнение бюджетных ассигнований на реализацию муниципальных целевых программ;</w:t>
      </w:r>
    </w:p>
    <w:p w:rsidR="00F6103A" w:rsidRPr="001F2396" w:rsidRDefault="00F6103A" w:rsidP="00F6103A">
      <w:pPr>
        <w:pStyle w:val="aa"/>
        <w:ind w:left="928"/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Приложение №10 - Кредиторская задолженность  кожуунного бюджета;</w:t>
      </w:r>
    </w:p>
    <w:p w:rsidR="00F6103A" w:rsidRPr="00F6103A" w:rsidRDefault="00F6103A" w:rsidP="00F6103A">
      <w:pPr>
        <w:jc w:val="both"/>
        <w:rPr>
          <w:sz w:val="28"/>
          <w:szCs w:val="28"/>
        </w:rPr>
      </w:pPr>
      <w:r w:rsidRPr="00F6103A">
        <w:rPr>
          <w:sz w:val="28"/>
          <w:szCs w:val="28"/>
        </w:rPr>
        <w:lastRenderedPageBreak/>
        <w:t>Приложение №11 - Выплата компенсации в части родительской платы за содержание ребенка в детских дошкольных образовательных учреждениях;</w:t>
      </w:r>
    </w:p>
    <w:p w:rsidR="00F6103A" w:rsidRPr="00F6103A" w:rsidRDefault="00F6103A" w:rsidP="00F6103A">
      <w:pPr>
        <w:jc w:val="both"/>
        <w:rPr>
          <w:sz w:val="28"/>
          <w:szCs w:val="28"/>
        </w:rPr>
      </w:pPr>
      <w:r w:rsidRPr="00F6103A">
        <w:rPr>
          <w:sz w:val="28"/>
          <w:szCs w:val="28"/>
        </w:rPr>
        <w:t>Приложение №12 -   Приложение №14 – Сравнительный анализ исполнения расходов по разделам за аналогичный период  2016 года;</w:t>
      </w:r>
    </w:p>
    <w:p w:rsidR="00F6103A" w:rsidRPr="00F6103A" w:rsidRDefault="00F6103A" w:rsidP="00F6103A">
      <w:pPr>
        <w:jc w:val="both"/>
        <w:rPr>
          <w:sz w:val="28"/>
          <w:szCs w:val="28"/>
        </w:rPr>
      </w:pPr>
      <w:r w:rsidRPr="00F6103A">
        <w:rPr>
          <w:sz w:val="28"/>
          <w:szCs w:val="28"/>
        </w:rPr>
        <w:t>Приложение №13 -   Постатейный анализ исполнения расходов за  аналогичный период 2016 года;</w:t>
      </w:r>
    </w:p>
    <w:p w:rsidR="00F6103A" w:rsidRDefault="00F6103A" w:rsidP="00F6103A">
      <w:pPr>
        <w:pStyle w:val="aa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F2396">
        <w:rPr>
          <w:sz w:val="28"/>
          <w:szCs w:val="28"/>
        </w:rPr>
        <w:t xml:space="preserve"> </w:t>
      </w:r>
      <w:proofErr w:type="gramStart"/>
      <w:r w:rsidRPr="001F2396">
        <w:rPr>
          <w:sz w:val="28"/>
          <w:szCs w:val="28"/>
        </w:rPr>
        <w:t>Поставить основные  задачи выполнения бюджетной политики на</w:t>
      </w:r>
      <w:r w:rsidRPr="00D37C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IY</w:t>
      </w:r>
      <w:r w:rsidRPr="001F2396">
        <w:rPr>
          <w:sz w:val="28"/>
          <w:szCs w:val="28"/>
        </w:rPr>
        <w:t xml:space="preserve"> квартал   2017 года  (</w:t>
      </w:r>
      <w:proofErr w:type="spellStart"/>
      <w:r w:rsidRPr="001F2396">
        <w:rPr>
          <w:sz w:val="28"/>
          <w:szCs w:val="28"/>
        </w:rPr>
        <w:t>И.о</w:t>
      </w:r>
      <w:proofErr w:type="spellEnd"/>
      <w:r w:rsidRPr="001F2396">
        <w:rPr>
          <w:sz w:val="28"/>
          <w:szCs w:val="28"/>
        </w:rPr>
        <w:t xml:space="preserve">. начальнику финансового управления </w:t>
      </w:r>
      <w:proofErr w:type="gramEnd"/>
    </w:p>
    <w:p w:rsidR="00F6103A" w:rsidRPr="001F2396" w:rsidRDefault="00F6103A" w:rsidP="00F6103A">
      <w:pPr>
        <w:pStyle w:val="aa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1F2396">
        <w:rPr>
          <w:sz w:val="28"/>
          <w:szCs w:val="28"/>
        </w:rPr>
        <w:t>Саая</w:t>
      </w:r>
      <w:proofErr w:type="spellEnd"/>
      <w:r w:rsidRPr="001F2396">
        <w:rPr>
          <w:sz w:val="28"/>
          <w:szCs w:val="28"/>
        </w:rPr>
        <w:t xml:space="preserve"> Е.Ч.):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Обеспечить  стопроцентное выполнение плана собственных доходов кожуунного бюджета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IY</w:t>
      </w:r>
      <w:r w:rsidRPr="001F2396">
        <w:rPr>
          <w:sz w:val="28"/>
          <w:szCs w:val="28"/>
        </w:rPr>
        <w:t xml:space="preserve"> квартал 2017 года;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Уточнить список всех налогоплательщиков по местным налогам и сборам;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Принять меры по взысканию недоимки;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Выявить скрытые резервы поступления доходов в бюджет;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Не допустить превышение фонда оплаты труда;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Обеспечить своевременную выплату заработной платы;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Сократить неэффективные расходы;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Проверить правильность начисления и выплаты заработной платы во всех бюджетных учреждениях;</w:t>
      </w:r>
    </w:p>
    <w:p w:rsidR="00F6103A" w:rsidRPr="001F2396" w:rsidRDefault="00F6103A" w:rsidP="00F6103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 xml:space="preserve">Не допустить дополнительную нагрузку </w:t>
      </w:r>
      <w:proofErr w:type="spellStart"/>
      <w:r w:rsidRPr="001F2396">
        <w:rPr>
          <w:sz w:val="28"/>
          <w:szCs w:val="28"/>
        </w:rPr>
        <w:t>кожуунному</w:t>
      </w:r>
      <w:proofErr w:type="spellEnd"/>
      <w:r w:rsidRPr="001F2396">
        <w:rPr>
          <w:sz w:val="28"/>
          <w:szCs w:val="28"/>
        </w:rPr>
        <w:t xml:space="preserve"> бюджету по коммунальным услугам;</w:t>
      </w:r>
    </w:p>
    <w:p w:rsidR="00F6103A" w:rsidRPr="00900EBC" w:rsidRDefault="00F6103A" w:rsidP="00F6103A">
      <w:pPr>
        <w:pStyle w:val="aa"/>
        <w:numPr>
          <w:ilvl w:val="0"/>
          <w:numId w:val="11"/>
        </w:numPr>
        <w:ind w:left="1155" w:firstLine="0"/>
        <w:jc w:val="both"/>
        <w:rPr>
          <w:sz w:val="28"/>
          <w:szCs w:val="28"/>
        </w:rPr>
      </w:pPr>
      <w:r w:rsidRPr="00900EBC">
        <w:rPr>
          <w:sz w:val="28"/>
          <w:szCs w:val="28"/>
        </w:rPr>
        <w:t xml:space="preserve">Обеспечить своевременное финансирование, </w:t>
      </w:r>
      <w:proofErr w:type="spellStart"/>
      <w:r w:rsidRPr="00900EBC">
        <w:rPr>
          <w:sz w:val="28"/>
          <w:szCs w:val="28"/>
        </w:rPr>
        <w:t>софинансирование</w:t>
      </w:r>
      <w:proofErr w:type="spellEnd"/>
      <w:r w:rsidRPr="00900EBC">
        <w:rPr>
          <w:sz w:val="28"/>
          <w:szCs w:val="28"/>
        </w:rPr>
        <w:t xml:space="preserve"> федеральных, республиканских, муниципальных программ.</w:t>
      </w:r>
    </w:p>
    <w:p w:rsidR="00F6103A" w:rsidRDefault="00F6103A" w:rsidP="00F6103A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1F2396">
        <w:rPr>
          <w:sz w:val="28"/>
          <w:szCs w:val="28"/>
        </w:rPr>
        <w:t>Опубликовать настоящее решение в газете «</w:t>
      </w:r>
      <w:proofErr w:type="spellStart"/>
      <w:r w:rsidRPr="001F2396">
        <w:rPr>
          <w:sz w:val="28"/>
          <w:szCs w:val="28"/>
        </w:rPr>
        <w:t>Хемчиктин</w:t>
      </w:r>
      <w:proofErr w:type="spellEnd"/>
      <w:r w:rsidRPr="001F2396">
        <w:rPr>
          <w:sz w:val="28"/>
          <w:szCs w:val="28"/>
        </w:rPr>
        <w:t xml:space="preserve"> </w:t>
      </w:r>
      <w:proofErr w:type="spellStart"/>
      <w:r w:rsidRPr="001F2396">
        <w:rPr>
          <w:sz w:val="28"/>
          <w:szCs w:val="28"/>
        </w:rPr>
        <w:t>сылдызы</w:t>
      </w:r>
      <w:proofErr w:type="spellEnd"/>
      <w:r w:rsidRPr="001F2396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     </w:t>
      </w:r>
      <w:r w:rsidRPr="001F2396">
        <w:rPr>
          <w:sz w:val="28"/>
          <w:szCs w:val="28"/>
        </w:rPr>
        <w:t>разместить на официальном сайте администрации кожууна;</w:t>
      </w:r>
    </w:p>
    <w:p w:rsidR="00603227" w:rsidRPr="00D034BC" w:rsidRDefault="00F6103A" w:rsidP="00F6103A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F6103A">
        <w:rPr>
          <w:sz w:val="28"/>
          <w:szCs w:val="28"/>
        </w:rPr>
        <w:t xml:space="preserve">Контроль над  исполнением  настоящего  постановления возложить </w:t>
      </w:r>
      <w:proofErr w:type="gramStart"/>
      <w:r w:rsidRPr="00F6103A">
        <w:rPr>
          <w:sz w:val="28"/>
          <w:szCs w:val="28"/>
        </w:rPr>
        <w:t>на</w:t>
      </w:r>
      <w:proofErr w:type="gramEnd"/>
      <w:r w:rsidRPr="00F6103A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</w:t>
      </w:r>
      <w:r w:rsidRPr="00F6103A">
        <w:rPr>
          <w:sz w:val="28"/>
          <w:szCs w:val="28"/>
        </w:rPr>
        <w:t>.</w:t>
      </w:r>
      <w:proofErr w:type="gramStart"/>
      <w:r w:rsidRPr="00F6103A">
        <w:rPr>
          <w:sz w:val="28"/>
          <w:szCs w:val="28"/>
        </w:rPr>
        <w:t>о</w:t>
      </w:r>
      <w:proofErr w:type="spellEnd"/>
      <w:proofErr w:type="gramEnd"/>
      <w:r w:rsidRPr="00F6103A">
        <w:rPr>
          <w:sz w:val="28"/>
          <w:szCs w:val="28"/>
        </w:rPr>
        <w:t>. на</w:t>
      </w:r>
      <w:r>
        <w:rPr>
          <w:sz w:val="28"/>
          <w:szCs w:val="28"/>
        </w:rPr>
        <w:t xml:space="preserve">чальника финансового управления </w:t>
      </w:r>
      <w:proofErr w:type="spellStart"/>
      <w:r w:rsidRPr="00F6103A">
        <w:rPr>
          <w:sz w:val="28"/>
          <w:szCs w:val="28"/>
        </w:rPr>
        <w:t>Саая</w:t>
      </w:r>
      <w:proofErr w:type="spellEnd"/>
      <w:r w:rsidRPr="00F6103A">
        <w:rPr>
          <w:sz w:val="28"/>
          <w:szCs w:val="28"/>
        </w:rPr>
        <w:t xml:space="preserve"> Е.</w:t>
      </w:r>
      <w:r>
        <w:rPr>
          <w:sz w:val="28"/>
          <w:szCs w:val="28"/>
        </w:rPr>
        <w:t>Ч.</w:t>
      </w:r>
    </w:p>
    <w:p w:rsidR="00F6103A" w:rsidRDefault="00F6103A" w:rsidP="00603227">
      <w:pPr>
        <w:pStyle w:val="ac"/>
        <w:jc w:val="both"/>
        <w:rPr>
          <w:sz w:val="28"/>
          <w:szCs w:val="28"/>
        </w:rPr>
      </w:pPr>
    </w:p>
    <w:p w:rsidR="00F6103A" w:rsidRDefault="00F6103A" w:rsidP="00603227">
      <w:pPr>
        <w:pStyle w:val="ac"/>
        <w:jc w:val="both"/>
        <w:rPr>
          <w:sz w:val="28"/>
          <w:szCs w:val="28"/>
        </w:rPr>
      </w:pPr>
    </w:p>
    <w:p w:rsidR="00F6103A" w:rsidRDefault="00F6103A" w:rsidP="00603227">
      <w:pPr>
        <w:pStyle w:val="ac"/>
        <w:jc w:val="both"/>
        <w:rPr>
          <w:sz w:val="28"/>
          <w:szCs w:val="28"/>
        </w:rPr>
      </w:pPr>
    </w:p>
    <w:p w:rsidR="00E53B79" w:rsidRPr="00D034BC" w:rsidRDefault="00E53B79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>Глава</w:t>
      </w:r>
      <w:r w:rsidR="00F6103A">
        <w:rPr>
          <w:sz w:val="28"/>
          <w:szCs w:val="28"/>
        </w:rPr>
        <w:t xml:space="preserve"> МО</w:t>
      </w:r>
      <w:r w:rsidRPr="00D034BC">
        <w:rPr>
          <w:sz w:val="28"/>
          <w:szCs w:val="28"/>
        </w:rPr>
        <w:t xml:space="preserve"> - Председатель Хурала </w:t>
      </w:r>
      <w:r w:rsidR="00BB6EA4" w:rsidRPr="00D034BC">
        <w:rPr>
          <w:sz w:val="28"/>
          <w:szCs w:val="28"/>
        </w:rPr>
        <w:t xml:space="preserve">                                         </w:t>
      </w:r>
      <w:r w:rsidR="00BD75D7">
        <w:rPr>
          <w:sz w:val="28"/>
          <w:szCs w:val="28"/>
        </w:rPr>
        <w:t xml:space="preserve"> </w:t>
      </w:r>
      <w:r w:rsidR="00BB6EA4" w:rsidRPr="00D034BC">
        <w:rPr>
          <w:sz w:val="28"/>
          <w:szCs w:val="28"/>
        </w:rPr>
        <w:t xml:space="preserve"> В.С. Ондар   </w:t>
      </w:r>
    </w:p>
    <w:p w:rsidR="00B03A62" w:rsidRPr="00D034BC" w:rsidRDefault="00BB6EA4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представителей </w:t>
      </w:r>
      <w:r w:rsidR="00E53B79" w:rsidRPr="00D034BC">
        <w:rPr>
          <w:sz w:val="28"/>
          <w:szCs w:val="28"/>
        </w:rPr>
        <w:t>Барун-Хемчикского кожууна</w:t>
      </w:r>
      <w:r w:rsidRPr="00D034BC">
        <w:rPr>
          <w:sz w:val="28"/>
          <w:szCs w:val="28"/>
        </w:rPr>
        <w:t xml:space="preserve"> </w:t>
      </w:r>
    </w:p>
    <w:sectPr w:rsidR="00B03A62" w:rsidRPr="00D034BC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396"/>
    <w:multiLevelType w:val="hybridMultilevel"/>
    <w:tmpl w:val="B986D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55B88"/>
    <w:multiLevelType w:val="hybridMultilevel"/>
    <w:tmpl w:val="920658B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4">
    <w:nsid w:val="1A020038"/>
    <w:multiLevelType w:val="hybridMultilevel"/>
    <w:tmpl w:val="2D5C6D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0765CD1"/>
    <w:multiLevelType w:val="hybridMultilevel"/>
    <w:tmpl w:val="13D89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B2F32"/>
    <w:multiLevelType w:val="hybridMultilevel"/>
    <w:tmpl w:val="2B408D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775537B7"/>
    <w:multiLevelType w:val="hybridMultilevel"/>
    <w:tmpl w:val="5A8E6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6AC"/>
    <w:rsid w:val="001F4116"/>
    <w:rsid w:val="00201483"/>
    <w:rsid w:val="00213545"/>
    <w:rsid w:val="002175E9"/>
    <w:rsid w:val="00222C67"/>
    <w:rsid w:val="0023352C"/>
    <w:rsid w:val="00244B1B"/>
    <w:rsid w:val="00264184"/>
    <w:rsid w:val="002824BB"/>
    <w:rsid w:val="002835C3"/>
    <w:rsid w:val="00287991"/>
    <w:rsid w:val="002A0DE6"/>
    <w:rsid w:val="002B130E"/>
    <w:rsid w:val="002B2CBF"/>
    <w:rsid w:val="002D57D7"/>
    <w:rsid w:val="002E5D35"/>
    <w:rsid w:val="002F2255"/>
    <w:rsid w:val="003138A5"/>
    <w:rsid w:val="003216BA"/>
    <w:rsid w:val="00335D75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239F7"/>
    <w:rsid w:val="0044175B"/>
    <w:rsid w:val="004557B3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5D56B9"/>
    <w:rsid w:val="005E2DFE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80F23"/>
    <w:rsid w:val="006B6E77"/>
    <w:rsid w:val="006C29D2"/>
    <w:rsid w:val="006F243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51646"/>
    <w:rsid w:val="008544CD"/>
    <w:rsid w:val="00864E77"/>
    <w:rsid w:val="00885FCC"/>
    <w:rsid w:val="00892D78"/>
    <w:rsid w:val="008B48BB"/>
    <w:rsid w:val="008C101F"/>
    <w:rsid w:val="008D2A75"/>
    <w:rsid w:val="008E2A1D"/>
    <w:rsid w:val="008E6F9B"/>
    <w:rsid w:val="008F14D8"/>
    <w:rsid w:val="008F7FE6"/>
    <w:rsid w:val="00902F37"/>
    <w:rsid w:val="00907B77"/>
    <w:rsid w:val="00912861"/>
    <w:rsid w:val="00915B13"/>
    <w:rsid w:val="00922808"/>
    <w:rsid w:val="00931187"/>
    <w:rsid w:val="00934133"/>
    <w:rsid w:val="00946F26"/>
    <w:rsid w:val="00965C59"/>
    <w:rsid w:val="00974153"/>
    <w:rsid w:val="009759FF"/>
    <w:rsid w:val="00977934"/>
    <w:rsid w:val="00984D38"/>
    <w:rsid w:val="009D1EA4"/>
    <w:rsid w:val="009F4070"/>
    <w:rsid w:val="00A11E39"/>
    <w:rsid w:val="00A130CE"/>
    <w:rsid w:val="00A53029"/>
    <w:rsid w:val="00A57757"/>
    <w:rsid w:val="00A62F8C"/>
    <w:rsid w:val="00A87BCC"/>
    <w:rsid w:val="00A91714"/>
    <w:rsid w:val="00AA154F"/>
    <w:rsid w:val="00AB13A5"/>
    <w:rsid w:val="00AB7555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459B"/>
    <w:rsid w:val="00B76D0C"/>
    <w:rsid w:val="00B850C3"/>
    <w:rsid w:val="00BA697E"/>
    <w:rsid w:val="00BB6EA4"/>
    <w:rsid w:val="00BD75D7"/>
    <w:rsid w:val="00BF28F4"/>
    <w:rsid w:val="00C0322D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F166D"/>
    <w:rsid w:val="00CF3BD3"/>
    <w:rsid w:val="00D0199D"/>
    <w:rsid w:val="00D034BC"/>
    <w:rsid w:val="00D17B9E"/>
    <w:rsid w:val="00D30094"/>
    <w:rsid w:val="00D31E74"/>
    <w:rsid w:val="00D369D7"/>
    <w:rsid w:val="00D42438"/>
    <w:rsid w:val="00D4712D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5F0C"/>
    <w:rsid w:val="00EA70EE"/>
    <w:rsid w:val="00EB0B78"/>
    <w:rsid w:val="00EE7EA2"/>
    <w:rsid w:val="00EF0A9D"/>
    <w:rsid w:val="00F237CC"/>
    <w:rsid w:val="00F24BF0"/>
    <w:rsid w:val="00F24BF5"/>
    <w:rsid w:val="00F32FD3"/>
    <w:rsid w:val="00F4118F"/>
    <w:rsid w:val="00F43D8C"/>
    <w:rsid w:val="00F46C31"/>
    <w:rsid w:val="00F55734"/>
    <w:rsid w:val="00F57F65"/>
    <w:rsid w:val="00F6103A"/>
    <w:rsid w:val="00F64317"/>
    <w:rsid w:val="00F64352"/>
    <w:rsid w:val="00F65EEB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FC5E-3B34-4ADE-8D11-9A9BD950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51</cp:revision>
  <cp:lastPrinted>2017-05-26T09:16:00Z</cp:lastPrinted>
  <dcterms:created xsi:type="dcterms:W3CDTF">2017-06-22T11:00:00Z</dcterms:created>
  <dcterms:modified xsi:type="dcterms:W3CDTF">2017-12-05T04:23:00Z</dcterms:modified>
</cp:coreProperties>
</file>